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256583"/>
      <w:bookmarkStart w:id="6" w:name="_Toc266378549"/>
      <w:bookmarkStart w:id="7" w:name="_Toc303010188"/>
      <w:bookmarkStart w:id="8" w:name="_Toc266378441"/>
      <w:bookmarkStart w:id="9" w:name="_Toc269503578"/>
      <w:bookmarkStart w:id="10" w:name="_Toc269503542"/>
      <w:bookmarkStart w:id="11" w:name="_Toc266259957"/>
      <w:bookmarkStart w:id="12" w:name="_Toc266260127"/>
      <w:bookmarkStart w:id="13" w:name="_Toc322350672"/>
      <w:bookmarkStart w:id="14" w:name="_Toc266260035"/>
      <w:bookmarkStart w:id="15" w:name="_Toc266378509"/>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default" w:ascii="宋体" w:hAnsi="宋体"/>
                <w:szCs w:val="21"/>
                <w:lang w:val="en-US"/>
              </w:rPr>
            </w:pPr>
            <w:r>
              <w:rPr>
                <w:rFonts w:hint="eastAsia" w:ascii="宋体" w:hAnsi="宋体"/>
                <w:szCs w:val="21"/>
                <w:lang w:val="en-US" w:eastAsia="zh-CN"/>
              </w:rPr>
              <w:t>2023011206</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物联网感知设备接入和传输技术要求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260225"/>
      <w:bookmarkStart w:id="19" w:name="_Toc266260129"/>
      <w:bookmarkStart w:id="20" w:name="_Toc266256585"/>
      <w:bookmarkStart w:id="21" w:name="_Toc269503580"/>
      <w:bookmarkStart w:id="22" w:name="_Toc266260037"/>
      <w:bookmarkStart w:id="23" w:name="_Toc266378551"/>
      <w:bookmarkStart w:id="24" w:name="_Toc303010190"/>
      <w:bookmarkStart w:id="25" w:name="_Toc266259959"/>
      <w:bookmarkStart w:id="26" w:name="_Toc266378511"/>
      <w:bookmarkStart w:id="27" w:name="_Toc266378443"/>
      <w:bookmarkStart w:id="28" w:name="_Toc322350674"/>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default" w:ascii="宋体" w:hAnsi="宋体"/>
                <w:szCs w:val="21"/>
                <w:lang w:val="en-US"/>
              </w:rPr>
            </w:pPr>
            <w:r>
              <w:rPr>
                <w:rFonts w:hint="eastAsia" w:ascii="宋体" w:hAnsi="宋体"/>
                <w:szCs w:val="21"/>
                <w:lang w:val="en-US" w:eastAsia="zh-CN"/>
              </w:rPr>
              <w:t>2023011206</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物联网感知设备接入和传输技术要求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27B86E5A"/>
    <w:rsid w:val="41C46616"/>
    <w:rsid w:val="52EB1CC0"/>
    <w:rsid w:val="54221E25"/>
    <w:rsid w:val="7A390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2023-05-19T05:40:37Z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7B5246CA584448B8966FB8A4A4A13F8F_13</vt:lpwstr>
  </property>
</Properties>
</file>